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87150" w14:textId="072B743A" w:rsidR="008D1B31" w:rsidRPr="008779C4" w:rsidRDefault="004526DC" w:rsidP="00D05836">
      <w:pPr>
        <w:jc w:val="both"/>
        <w:rPr>
          <w:b/>
          <w:bCs/>
          <w:sz w:val="28"/>
          <w:szCs w:val="28"/>
          <w:lang w:val="en-US"/>
        </w:rPr>
      </w:pPr>
      <w:r>
        <w:rPr>
          <w:rFonts w:ascii="Calibri" w:hAnsi="Calibri" w:cs="Calibri"/>
          <w:noProof/>
          <w:color w:val="000000"/>
          <w:lang w:eastAsia="fr-FR"/>
        </w:rPr>
        <w:drawing>
          <wp:anchor distT="0" distB="0" distL="114300" distR="114300" simplePos="0" relativeHeight="251659264" behindDoc="0" locked="0" layoutInCell="1" allowOverlap="1" wp14:anchorId="1FEB7C8D" wp14:editId="493589D2">
            <wp:simplePos x="0" y="0"/>
            <wp:positionH relativeFrom="column">
              <wp:posOffset>64770</wp:posOffset>
            </wp:positionH>
            <wp:positionV relativeFrom="paragraph">
              <wp:posOffset>0</wp:posOffset>
            </wp:positionV>
            <wp:extent cx="1295400" cy="17284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9C4" w:rsidRPr="008779C4">
        <w:rPr>
          <w:b/>
          <w:bCs/>
          <w:lang w:val="en-US"/>
        </w:rPr>
        <w:t>Dysfunction of Transmembrane Receptor</w:t>
      </w:r>
      <w:r w:rsidR="008779C4">
        <w:rPr>
          <w:b/>
          <w:bCs/>
          <w:lang w:val="en-US"/>
        </w:rPr>
        <w:t>s</w:t>
      </w:r>
      <w:r w:rsidR="008779C4" w:rsidRPr="008779C4">
        <w:rPr>
          <w:b/>
          <w:bCs/>
          <w:lang w:val="en-US"/>
        </w:rPr>
        <w:t>: Implications for Obesity</w:t>
      </w:r>
      <w:r w:rsidR="008779C4">
        <w:rPr>
          <w:b/>
          <w:bCs/>
          <w:lang w:val="en-US"/>
        </w:rPr>
        <w:t>/</w:t>
      </w:r>
      <w:r w:rsidR="008779C4" w:rsidRPr="008779C4">
        <w:rPr>
          <w:b/>
          <w:bCs/>
          <w:lang w:val="en-US"/>
        </w:rPr>
        <w:t>Diabetes and Therapeutic Strategies</w:t>
      </w:r>
    </w:p>
    <w:p w14:paraId="5B29D7C0" w14:textId="28CA7878" w:rsidR="00265CBE" w:rsidRPr="00265CBE" w:rsidRDefault="00265CBE" w:rsidP="00265CBE">
      <w:pPr>
        <w:pStyle w:val="NormalWeb"/>
        <w:jc w:val="both"/>
        <w:rPr>
          <w:rFonts w:asciiTheme="minorHAnsi" w:hAnsiTheme="minorHAnsi" w:cstheme="minorHAnsi"/>
          <w:lang w:val="en-US"/>
        </w:rPr>
      </w:pPr>
      <w:proofErr w:type="gramStart"/>
      <w:r w:rsidRPr="00265CBE">
        <w:rPr>
          <w:b/>
          <w:bCs/>
          <w:u w:val="single"/>
          <w:lang w:val="en-US"/>
        </w:rPr>
        <w:t>Abstract </w:t>
      </w:r>
      <w:r w:rsidRPr="00265CBE">
        <w:rPr>
          <w:lang w:val="en-US"/>
        </w:rPr>
        <w:t>:</w:t>
      </w:r>
      <w:proofErr w:type="gramEnd"/>
      <w:r w:rsidRPr="00265CBE">
        <w:rPr>
          <w:lang w:val="en-US"/>
        </w:rPr>
        <w:t xml:space="preserve"> </w:t>
      </w:r>
      <w:r w:rsidRPr="00265CBE">
        <w:rPr>
          <w:rFonts w:asciiTheme="minorHAnsi" w:hAnsiTheme="minorHAnsi" w:cstheme="minorHAnsi"/>
          <w:lang w:val="en-US"/>
        </w:rPr>
        <w:t xml:space="preserve">Our goal is to understand the dysfunction of membrane receptors in metabolic diseases such as obesity and diabetes. These diseases represent major public health issues, with </w:t>
      </w:r>
      <w:r>
        <w:rPr>
          <w:rFonts w:asciiTheme="minorHAnsi" w:hAnsiTheme="minorHAnsi" w:cstheme="minorHAnsi"/>
          <w:lang w:val="en-US"/>
        </w:rPr>
        <w:t xml:space="preserve">more than </w:t>
      </w:r>
      <w:r w:rsidRPr="00265CBE">
        <w:rPr>
          <w:rFonts w:asciiTheme="minorHAnsi" w:hAnsiTheme="minorHAnsi" w:cstheme="minorHAnsi"/>
          <w:lang w:val="en-US"/>
        </w:rPr>
        <w:t xml:space="preserve">1.5 billion people being overweight, over 500 million people </w:t>
      </w:r>
      <w:r>
        <w:rPr>
          <w:rFonts w:asciiTheme="minorHAnsi" w:hAnsiTheme="minorHAnsi" w:cstheme="minorHAnsi"/>
          <w:lang w:val="en-US"/>
        </w:rPr>
        <w:t xml:space="preserve">are with </w:t>
      </w:r>
      <w:r w:rsidRPr="00265CBE">
        <w:rPr>
          <w:rFonts w:asciiTheme="minorHAnsi" w:hAnsiTheme="minorHAnsi" w:cstheme="minorHAnsi"/>
          <w:lang w:val="en-US"/>
        </w:rPr>
        <w:t>obes</w:t>
      </w:r>
      <w:r>
        <w:rPr>
          <w:rFonts w:asciiTheme="minorHAnsi" w:hAnsiTheme="minorHAnsi" w:cstheme="minorHAnsi"/>
          <w:lang w:val="en-US"/>
        </w:rPr>
        <w:t>ity</w:t>
      </w:r>
      <w:r w:rsidRPr="00265CBE">
        <w:rPr>
          <w:rFonts w:asciiTheme="minorHAnsi" w:hAnsiTheme="minorHAnsi" w:cstheme="minorHAnsi"/>
          <w:lang w:val="en-US"/>
        </w:rPr>
        <w:t xml:space="preserve">, and more than 350 million people affected by diabetes worldwide. Specifically, </w:t>
      </w:r>
      <w:r>
        <w:rPr>
          <w:rFonts w:asciiTheme="minorHAnsi" w:hAnsiTheme="minorHAnsi" w:cstheme="minorHAnsi"/>
          <w:lang w:val="en-US"/>
        </w:rPr>
        <w:t xml:space="preserve">the focus will be </w:t>
      </w:r>
      <w:r w:rsidRPr="00265CBE">
        <w:rPr>
          <w:rFonts w:asciiTheme="minorHAnsi" w:hAnsiTheme="minorHAnsi" w:cstheme="minorHAnsi"/>
          <w:lang w:val="en-US"/>
        </w:rPr>
        <w:t xml:space="preserve">on two membrane receptors: the GLP-1 receptor, which belongs to the family of G-protein coupled receptors (GPCRs), and the leptin receptor. Molecular alterations of these receptors, through post-translational modifications or mutations found in humans, impair their function and contribute to the development of obesity and diabetes. </w:t>
      </w:r>
      <w:r>
        <w:rPr>
          <w:rFonts w:asciiTheme="minorHAnsi" w:hAnsiTheme="minorHAnsi" w:cstheme="minorHAnsi"/>
          <w:lang w:val="en-US"/>
        </w:rPr>
        <w:t>B</w:t>
      </w:r>
      <w:r w:rsidRPr="00265CBE">
        <w:rPr>
          <w:rFonts w:asciiTheme="minorHAnsi" w:hAnsiTheme="minorHAnsi" w:cstheme="minorHAnsi"/>
          <w:lang w:val="en-US"/>
        </w:rPr>
        <w:t>iochemical, pharmacological, and proteomic approaches, particularly bioluminescence resonance energy transfer (BRET) and time-resolved fluorescence resonance energy transfer (TR-FRET) techniques</w:t>
      </w:r>
      <w:r>
        <w:rPr>
          <w:rFonts w:asciiTheme="minorHAnsi" w:hAnsiTheme="minorHAnsi" w:cstheme="minorHAnsi"/>
          <w:lang w:val="en-US"/>
        </w:rPr>
        <w:t xml:space="preserve"> are used to</w:t>
      </w:r>
      <w:r w:rsidRPr="00265CBE">
        <w:rPr>
          <w:rFonts w:asciiTheme="minorHAnsi" w:hAnsiTheme="minorHAnsi" w:cstheme="minorHAnsi"/>
          <w:lang w:val="en-US"/>
        </w:rPr>
        <w:t xml:space="preserve"> understand the </w:t>
      </w:r>
      <w:r>
        <w:rPr>
          <w:rFonts w:asciiTheme="minorHAnsi" w:hAnsiTheme="minorHAnsi" w:cstheme="minorHAnsi"/>
          <w:lang w:val="en-US"/>
        </w:rPr>
        <w:t xml:space="preserve">underlying </w:t>
      </w:r>
      <w:r w:rsidRPr="00265CBE">
        <w:rPr>
          <w:rFonts w:asciiTheme="minorHAnsi" w:hAnsiTheme="minorHAnsi" w:cstheme="minorHAnsi"/>
          <w:lang w:val="en-US"/>
        </w:rPr>
        <w:t>mechanisms of functional impairment</w:t>
      </w:r>
      <w:r w:rsidR="00DE6BAB">
        <w:rPr>
          <w:rFonts w:asciiTheme="minorHAnsi" w:hAnsiTheme="minorHAnsi" w:cstheme="minorHAnsi"/>
          <w:lang w:val="en-US"/>
        </w:rPr>
        <w:t xml:space="preserve"> and to find therapeutic solutions</w:t>
      </w:r>
      <w:r w:rsidRPr="00265CBE">
        <w:rPr>
          <w:rFonts w:asciiTheme="minorHAnsi" w:hAnsiTheme="minorHAnsi" w:cstheme="minorHAnsi"/>
          <w:lang w:val="en-US"/>
        </w:rPr>
        <w:t xml:space="preserve">. </w:t>
      </w:r>
      <w:r>
        <w:rPr>
          <w:rFonts w:asciiTheme="minorHAnsi" w:hAnsiTheme="minorHAnsi" w:cstheme="minorHAnsi"/>
          <w:lang w:val="en-US"/>
        </w:rPr>
        <w:t>The</w:t>
      </w:r>
      <w:r w:rsidRPr="00265CBE">
        <w:rPr>
          <w:rFonts w:asciiTheme="minorHAnsi" w:hAnsiTheme="minorHAnsi" w:cstheme="minorHAnsi"/>
          <w:lang w:val="en-US"/>
        </w:rPr>
        <w:t xml:space="preserve"> molecular and cellular studies are complemented by investigations using mouse models.</w:t>
      </w:r>
    </w:p>
    <w:p w14:paraId="3E37F65E" w14:textId="7F6A347F" w:rsidR="008779C4" w:rsidRPr="00265CBE" w:rsidRDefault="007C389C" w:rsidP="00265CBE">
      <w:pPr>
        <w:pStyle w:val="NormalWeb"/>
        <w:jc w:val="both"/>
        <w:rPr>
          <w:rFonts w:ascii="Calibri" w:hAnsi="Calibri" w:cs="Calibri"/>
          <w:lang w:val="en-US"/>
        </w:rPr>
      </w:pPr>
      <w:r w:rsidRPr="00265CBE">
        <w:rPr>
          <w:rStyle w:val="c9dxtc"/>
          <w:rFonts w:ascii="Calibri" w:hAnsi="Calibri" w:cs="Calibri"/>
          <w:color w:val="000000"/>
          <w:lang w:val="en-US"/>
        </w:rPr>
        <w:t>Julie Dam</w:t>
      </w:r>
      <w:r w:rsidR="008779C4" w:rsidRPr="00265CBE">
        <w:rPr>
          <w:rStyle w:val="c9dxtc"/>
          <w:rFonts w:ascii="Calibri" w:hAnsi="Calibri" w:cs="Calibri"/>
          <w:color w:val="000000"/>
          <w:lang w:val="en-US"/>
        </w:rPr>
        <w:t xml:space="preserve"> holds a PhD in Biochemistry from the University Paris Diderot. As a postdoctoral fellow, she joined Pr. Roy </w:t>
      </w:r>
      <w:proofErr w:type="spellStart"/>
      <w:r w:rsidR="008779C4" w:rsidRPr="00265CBE">
        <w:rPr>
          <w:rStyle w:val="c9dxtc"/>
          <w:rFonts w:ascii="Calibri" w:hAnsi="Calibri" w:cs="Calibri"/>
          <w:color w:val="000000"/>
          <w:lang w:val="en-US"/>
        </w:rPr>
        <w:t>Mariuzza’s</w:t>
      </w:r>
      <w:proofErr w:type="spellEnd"/>
      <w:r w:rsidR="008779C4" w:rsidRPr="00265CBE">
        <w:rPr>
          <w:rStyle w:val="c9dxtc"/>
          <w:rFonts w:ascii="Calibri" w:hAnsi="Calibri" w:cs="Calibri"/>
          <w:color w:val="000000"/>
          <w:lang w:val="en-US"/>
        </w:rPr>
        <w:t xml:space="preserve"> lab at the Center for Advanced Research in Biotechnology, University of Maryland (USA), where she studied Natural Killer cell receptors, and later joined Dr. R. Jockers’ team at the </w:t>
      </w:r>
      <w:proofErr w:type="spellStart"/>
      <w:r w:rsidR="008779C4" w:rsidRPr="00265CBE">
        <w:rPr>
          <w:rStyle w:val="c9dxtc"/>
          <w:rFonts w:ascii="Calibri" w:hAnsi="Calibri" w:cs="Calibri"/>
          <w:color w:val="000000"/>
          <w:lang w:val="en-US"/>
        </w:rPr>
        <w:t>Institut</w:t>
      </w:r>
      <w:proofErr w:type="spellEnd"/>
      <w:r w:rsidR="008779C4" w:rsidRPr="00265CBE">
        <w:rPr>
          <w:rStyle w:val="c9dxtc"/>
          <w:rFonts w:ascii="Calibri" w:hAnsi="Calibri" w:cs="Calibri"/>
          <w:color w:val="000000"/>
          <w:lang w:val="en-US"/>
        </w:rPr>
        <w:t xml:space="preserve"> Cochin in Paris to study membrane receptor function. She is now an INSERM research director and co-leads the "Functional Pharmacology and Pathophysiology of Membrane Receptors" team at the </w:t>
      </w:r>
      <w:proofErr w:type="spellStart"/>
      <w:r w:rsidR="008779C4" w:rsidRPr="00265CBE">
        <w:rPr>
          <w:rStyle w:val="c9dxtc"/>
          <w:rFonts w:ascii="Calibri" w:hAnsi="Calibri" w:cs="Calibri"/>
          <w:color w:val="000000"/>
          <w:lang w:val="en-US"/>
        </w:rPr>
        <w:t>Institut</w:t>
      </w:r>
      <w:proofErr w:type="spellEnd"/>
      <w:r w:rsidR="008779C4" w:rsidRPr="00265CBE">
        <w:rPr>
          <w:rStyle w:val="c9dxtc"/>
          <w:rFonts w:ascii="Calibri" w:hAnsi="Calibri" w:cs="Calibri"/>
          <w:color w:val="000000"/>
          <w:lang w:val="en-US"/>
        </w:rPr>
        <w:t xml:space="preserve"> Cochin. Her research combines molecular, cellular and </w:t>
      </w:r>
      <w:r w:rsidR="008779C4" w:rsidRPr="00265CBE">
        <w:rPr>
          <w:rStyle w:val="c9dxtc"/>
          <w:rFonts w:ascii="Calibri" w:hAnsi="Calibri" w:cs="Calibri"/>
          <w:i/>
          <w:iCs/>
          <w:color w:val="000000"/>
          <w:lang w:val="en-US"/>
        </w:rPr>
        <w:t>in vivo</w:t>
      </w:r>
      <w:r w:rsidR="008779C4" w:rsidRPr="00265CBE">
        <w:rPr>
          <w:rStyle w:val="c9dxtc"/>
          <w:rFonts w:ascii="Calibri" w:hAnsi="Calibri" w:cs="Calibri"/>
          <w:color w:val="000000"/>
          <w:lang w:val="en-US"/>
        </w:rPr>
        <w:t xml:space="preserve"> approaches to study how membrane receptors regulate cell function</w:t>
      </w:r>
      <w:r w:rsidRPr="00265CBE">
        <w:rPr>
          <w:rStyle w:val="c9dxtc"/>
          <w:rFonts w:ascii="Calibri" w:hAnsi="Calibri" w:cs="Calibri"/>
          <w:color w:val="000000"/>
          <w:lang w:val="en-US"/>
        </w:rPr>
        <w:t xml:space="preserve"> </w:t>
      </w:r>
      <w:r w:rsidR="008779C4" w:rsidRPr="00265CBE">
        <w:rPr>
          <w:rStyle w:val="c9dxtc"/>
          <w:rFonts w:ascii="Calibri" w:hAnsi="Calibri" w:cs="Calibri"/>
          <w:color w:val="000000"/>
          <w:lang w:val="en-US"/>
        </w:rPr>
        <w:t xml:space="preserve">and </w:t>
      </w:r>
      <w:r w:rsidRPr="00265CBE">
        <w:rPr>
          <w:rStyle w:val="c9dxtc"/>
          <w:rFonts w:ascii="Calibri" w:hAnsi="Calibri" w:cs="Calibri"/>
          <w:color w:val="000000"/>
          <w:lang w:val="en-US"/>
        </w:rPr>
        <w:t xml:space="preserve">their </w:t>
      </w:r>
      <w:r w:rsidR="008779C4" w:rsidRPr="00265CBE">
        <w:rPr>
          <w:rStyle w:val="c9dxtc"/>
          <w:rFonts w:ascii="Calibri" w:hAnsi="Calibri" w:cs="Calibri"/>
          <w:color w:val="000000"/>
          <w:lang w:val="en-US"/>
        </w:rPr>
        <w:t xml:space="preserve">role in obesity and type 2 diabetes, focusing on leptin receptor and </w:t>
      </w:r>
      <w:r w:rsidRPr="00265CBE">
        <w:rPr>
          <w:rFonts w:ascii="Calibri" w:hAnsi="Calibri" w:cs="Calibri"/>
          <w:lang w:val="en-US"/>
        </w:rPr>
        <w:t>GPCRs</w:t>
      </w:r>
      <w:r w:rsidR="008779C4" w:rsidRPr="00265CBE">
        <w:rPr>
          <w:rStyle w:val="c9dxtc"/>
          <w:rFonts w:ascii="Calibri" w:hAnsi="Calibri" w:cs="Calibri"/>
          <w:color w:val="000000"/>
          <w:lang w:val="en-US"/>
        </w:rPr>
        <w:t>.</w:t>
      </w:r>
      <w:r w:rsidRPr="00265CBE">
        <w:rPr>
          <w:rStyle w:val="c9dxtc"/>
          <w:rFonts w:ascii="Calibri" w:hAnsi="Calibri" w:cs="Calibri"/>
          <w:color w:val="000000"/>
          <w:lang w:val="en-US"/>
        </w:rPr>
        <w:t xml:space="preserve"> </w:t>
      </w:r>
      <w:r w:rsidRPr="00265CBE">
        <w:rPr>
          <w:rFonts w:ascii="Calibri" w:hAnsi="Calibri" w:cs="Calibri"/>
          <w:lang w:val="en-US"/>
        </w:rPr>
        <w:t xml:space="preserve">As primary targets of currently available prescribed drugs, GPCRs are of particular interest. </w:t>
      </w:r>
      <w:r w:rsidRPr="00265CBE">
        <w:rPr>
          <w:rStyle w:val="c9dxtc"/>
          <w:rFonts w:ascii="Calibri" w:hAnsi="Calibri" w:cs="Calibri"/>
          <w:color w:val="000000"/>
          <w:lang w:val="en-US"/>
        </w:rPr>
        <w:t xml:space="preserve">She uses and develops BRET-, TR-FRET- and enzyme complementation- based biosensors to study the molecular mechanism of action of </w:t>
      </w:r>
      <w:r w:rsidR="00265CBE">
        <w:rPr>
          <w:rStyle w:val="c9dxtc"/>
          <w:rFonts w:ascii="Calibri" w:hAnsi="Calibri" w:cs="Calibri"/>
          <w:color w:val="000000"/>
          <w:lang w:val="en-US"/>
        </w:rPr>
        <w:t xml:space="preserve">these </w:t>
      </w:r>
      <w:r w:rsidRPr="00265CBE">
        <w:rPr>
          <w:rStyle w:val="c9dxtc"/>
          <w:rFonts w:ascii="Calibri" w:hAnsi="Calibri" w:cs="Calibri"/>
          <w:color w:val="000000"/>
          <w:lang w:val="en-US"/>
        </w:rPr>
        <w:t xml:space="preserve">receptors. </w:t>
      </w:r>
    </w:p>
    <w:bookmarkStart w:id="0" w:name="_GoBack"/>
    <w:p w14:paraId="7964C9DE" w14:textId="77777777" w:rsidR="00D05836" w:rsidRPr="008779C4" w:rsidRDefault="00DA5160" w:rsidP="008779C4">
      <w:pPr>
        <w:jc w:val="both"/>
        <w:rPr>
          <w:rFonts w:eastAsia="Times New Roman" w:cstheme="minorHAnsi"/>
          <w:sz w:val="22"/>
          <w:szCs w:val="22"/>
          <w:lang w:val="en-US" w:eastAsia="fr-FR"/>
        </w:rPr>
      </w:pPr>
      <w:r>
        <w:fldChar w:fldCharType="begin"/>
      </w:r>
      <w:r>
        <w:instrText xml:space="preserve"> HYPERLINK "https://pubmed.ncbi.nlm.nih.gov/28123946/" </w:instrText>
      </w:r>
      <w:r>
        <w:fldChar w:fldCharType="separate"/>
      </w:r>
      <w:r w:rsidR="00D05836" w:rsidRPr="008779C4">
        <w:rPr>
          <w:rFonts w:eastAsia="Times New Roman" w:cstheme="minorHAnsi"/>
          <w:color w:val="0000FF"/>
          <w:sz w:val="22"/>
          <w:szCs w:val="22"/>
          <w:u w:val="single"/>
          <w:lang w:val="en-US" w:eastAsia="fr-FR"/>
        </w:rPr>
        <w:t xml:space="preserve">Endospanin1 affects oppositely body weight regulation and glucose homeostasis by differentially regulating central leptin signaling. </w:t>
      </w:r>
      <w:r>
        <w:rPr>
          <w:rFonts w:eastAsia="Times New Roman" w:cstheme="minorHAnsi"/>
          <w:color w:val="0000FF"/>
          <w:sz w:val="22"/>
          <w:szCs w:val="22"/>
          <w:u w:val="single"/>
          <w:lang w:val="en-US" w:eastAsia="fr-FR"/>
        </w:rPr>
        <w:fldChar w:fldCharType="end"/>
      </w:r>
    </w:p>
    <w:p w14:paraId="1B7768FB" w14:textId="7FEE2F0C" w:rsidR="008779C4" w:rsidRPr="007C389C" w:rsidRDefault="00D05836" w:rsidP="008779C4">
      <w:pPr>
        <w:jc w:val="both"/>
        <w:rPr>
          <w:rFonts w:eastAsia="Times New Roman" w:cstheme="minorHAnsi"/>
          <w:sz w:val="22"/>
          <w:szCs w:val="22"/>
          <w:lang w:val="en-US" w:eastAsia="fr-FR"/>
        </w:rPr>
      </w:pP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Vauthier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V,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Roujeau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C, Chen P,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Sarkis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C,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Migrenne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S, Hosoi T, Ozawa K,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Rouillé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Y,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Foretz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M, Mallet J,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Launay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JM,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Magnan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C,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Jockers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R, Dam J. </w:t>
      </w:r>
      <w:proofErr w:type="spellStart"/>
      <w:r w:rsidRPr="008779C4">
        <w:rPr>
          <w:rFonts w:eastAsia="Times New Roman" w:cstheme="minorHAnsi"/>
          <w:b/>
          <w:bCs/>
          <w:sz w:val="22"/>
          <w:szCs w:val="22"/>
          <w:lang w:val="en-US" w:eastAsia="fr-FR"/>
        </w:rPr>
        <w:t>Mol</w:t>
      </w:r>
      <w:proofErr w:type="spellEnd"/>
      <w:r w:rsidRPr="008779C4">
        <w:rPr>
          <w:rFonts w:eastAsia="Times New Roman" w:cstheme="minorHAnsi"/>
          <w:b/>
          <w:bCs/>
          <w:sz w:val="22"/>
          <w:szCs w:val="22"/>
          <w:lang w:val="en-US" w:eastAsia="fr-FR"/>
        </w:rPr>
        <w:t xml:space="preserve"> </w:t>
      </w:r>
      <w:proofErr w:type="spellStart"/>
      <w:r w:rsidRPr="008779C4">
        <w:rPr>
          <w:rFonts w:eastAsia="Times New Roman" w:cstheme="minorHAnsi"/>
          <w:b/>
          <w:bCs/>
          <w:sz w:val="22"/>
          <w:szCs w:val="22"/>
          <w:lang w:val="en-US" w:eastAsia="fr-FR"/>
        </w:rPr>
        <w:t>Metab</w:t>
      </w:r>
      <w:proofErr w:type="spellEnd"/>
      <w:r w:rsidRPr="008779C4">
        <w:rPr>
          <w:rFonts w:eastAsia="Times New Roman" w:cstheme="minorHAnsi"/>
          <w:b/>
          <w:bCs/>
          <w:sz w:val="22"/>
          <w:szCs w:val="22"/>
          <w:lang w:val="en-US" w:eastAsia="fr-FR"/>
        </w:rPr>
        <w:t xml:space="preserve">. </w:t>
      </w:r>
      <w:r w:rsidRPr="007C389C">
        <w:rPr>
          <w:rFonts w:eastAsia="Times New Roman" w:cstheme="minorHAnsi"/>
          <w:b/>
          <w:bCs/>
          <w:sz w:val="22"/>
          <w:szCs w:val="22"/>
          <w:lang w:val="en-US" w:eastAsia="fr-FR"/>
        </w:rPr>
        <w:t>2016</w:t>
      </w:r>
      <w:r w:rsidRPr="007C389C">
        <w:rPr>
          <w:rFonts w:eastAsia="Times New Roman" w:cstheme="minorHAnsi"/>
          <w:sz w:val="22"/>
          <w:szCs w:val="22"/>
          <w:lang w:val="en-US" w:eastAsia="fr-FR"/>
        </w:rPr>
        <w:t xml:space="preserve"> Nov 3;6(1):159-172. </w:t>
      </w:r>
    </w:p>
    <w:p w14:paraId="6F8FECBF" w14:textId="77777777" w:rsidR="008779C4" w:rsidRPr="007C389C" w:rsidRDefault="008779C4" w:rsidP="008779C4">
      <w:pPr>
        <w:jc w:val="both"/>
        <w:rPr>
          <w:rFonts w:cstheme="minorHAnsi"/>
          <w:sz w:val="22"/>
          <w:szCs w:val="22"/>
          <w:lang w:val="en-US"/>
        </w:rPr>
      </w:pPr>
    </w:p>
    <w:p w14:paraId="4F0331C2" w14:textId="77777777" w:rsidR="008779C4" w:rsidRPr="008779C4" w:rsidRDefault="00DA5160" w:rsidP="008779C4">
      <w:pPr>
        <w:jc w:val="both"/>
        <w:rPr>
          <w:rFonts w:eastAsia="Times New Roman" w:cstheme="minorHAnsi"/>
          <w:sz w:val="22"/>
          <w:szCs w:val="22"/>
          <w:lang w:val="en-US" w:eastAsia="fr-FR"/>
        </w:rPr>
      </w:pPr>
      <w:hyperlink r:id="rId5" w:history="1">
        <w:r w:rsidR="008779C4" w:rsidRPr="008779C4">
          <w:rPr>
            <w:rFonts w:eastAsia="Times New Roman" w:cstheme="minorHAnsi"/>
            <w:color w:val="0000FF"/>
            <w:sz w:val="22"/>
            <w:szCs w:val="22"/>
            <w:u w:val="single"/>
            <w:lang w:val="en-US" w:eastAsia="fr-FR"/>
          </w:rPr>
          <w:t xml:space="preserve">Leptin brain entry via a </w:t>
        </w:r>
        <w:proofErr w:type="spellStart"/>
        <w:r w:rsidR="008779C4" w:rsidRPr="008779C4">
          <w:rPr>
            <w:rFonts w:eastAsia="Times New Roman" w:cstheme="minorHAnsi"/>
            <w:color w:val="0000FF"/>
            <w:sz w:val="22"/>
            <w:szCs w:val="22"/>
            <w:u w:val="single"/>
            <w:lang w:val="en-US" w:eastAsia="fr-FR"/>
          </w:rPr>
          <w:t>tanycytic</w:t>
        </w:r>
        <w:proofErr w:type="spellEnd"/>
        <w:r w:rsidR="008779C4" w:rsidRPr="008779C4">
          <w:rPr>
            <w:rFonts w:eastAsia="Times New Roman" w:cstheme="minorHAnsi"/>
            <w:color w:val="0000FF"/>
            <w:sz w:val="22"/>
            <w:szCs w:val="22"/>
            <w:u w:val="single"/>
            <w:lang w:val="en-US" w:eastAsia="fr-FR"/>
          </w:rPr>
          <w:t xml:space="preserve"> </w:t>
        </w:r>
        <w:proofErr w:type="spellStart"/>
        <w:r w:rsidR="008779C4" w:rsidRPr="008779C4">
          <w:rPr>
            <w:rFonts w:eastAsia="Times New Roman" w:cstheme="minorHAnsi"/>
            <w:color w:val="0000FF"/>
            <w:sz w:val="22"/>
            <w:szCs w:val="22"/>
            <w:u w:val="single"/>
            <w:lang w:val="en-US" w:eastAsia="fr-FR"/>
          </w:rPr>
          <w:t>LepR</w:t>
        </w:r>
        <w:proofErr w:type="spellEnd"/>
        <w:r w:rsidR="008779C4" w:rsidRPr="008779C4">
          <w:rPr>
            <w:rFonts w:eastAsia="Times New Roman" w:cstheme="minorHAnsi"/>
            <w:color w:val="0000FF"/>
            <w:sz w:val="22"/>
            <w:szCs w:val="22"/>
            <w:u w:val="single"/>
            <w:lang w:val="en-US" w:eastAsia="fr-FR"/>
          </w:rPr>
          <w:t xml:space="preserve">-EGFR shuttle controls lipid metabolism and pancreas function. </w:t>
        </w:r>
      </w:hyperlink>
    </w:p>
    <w:p w14:paraId="3B7B2C41" w14:textId="265B6AE5" w:rsidR="008779C4" w:rsidRPr="008779C4" w:rsidRDefault="008779C4" w:rsidP="008779C4">
      <w:pPr>
        <w:jc w:val="both"/>
        <w:rPr>
          <w:rFonts w:eastAsia="Times New Roman" w:cstheme="minorHAnsi"/>
          <w:sz w:val="22"/>
          <w:szCs w:val="22"/>
          <w:lang w:val="en-US" w:eastAsia="fr-FR"/>
        </w:rPr>
      </w:pP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Duquenne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M,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Folgueira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C,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Bourouh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C, Millet M, Silva A,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Clasadonte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J,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Imbernon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M,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Fernandois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D, Martinez-Corral I,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Kusumakshi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S, Caron E,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Rasika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S,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Deliglia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E,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Jouy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N,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Oishi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A,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Mazzone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M,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Trinquet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E, Tavernier J, Kim YB,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Ory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S,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Jockers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R,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Schwaninger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M, Boehm U,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Nogueiras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R,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Annicotte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JS, Gasman S*, Dam J*, </w:t>
      </w:r>
      <w:proofErr w:type="spellStart"/>
      <w:r w:rsidRPr="008779C4">
        <w:rPr>
          <w:rFonts w:eastAsia="Times New Roman" w:cstheme="minorHAnsi"/>
          <w:sz w:val="22"/>
          <w:szCs w:val="22"/>
          <w:lang w:val="en-US" w:eastAsia="fr-FR"/>
        </w:rPr>
        <w:t>Prévot</w:t>
      </w:r>
      <w:proofErr w:type="spellEnd"/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V*. </w:t>
      </w:r>
      <w:r w:rsidRPr="008779C4">
        <w:rPr>
          <w:rFonts w:eastAsia="Times New Roman" w:cstheme="minorHAnsi"/>
          <w:b/>
          <w:bCs/>
          <w:sz w:val="22"/>
          <w:szCs w:val="22"/>
          <w:lang w:val="en-US" w:eastAsia="fr-FR"/>
        </w:rPr>
        <w:t xml:space="preserve">Nat </w:t>
      </w:r>
      <w:proofErr w:type="spellStart"/>
      <w:r w:rsidRPr="008779C4">
        <w:rPr>
          <w:rFonts w:eastAsia="Times New Roman" w:cstheme="minorHAnsi"/>
          <w:b/>
          <w:bCs/>
          <w:sz w:val="22"/>
          <w:szCs w:val="22"/>
          <w:lang w:val="en-US" w:eastAsia="fr-FR"/>
        </w:rPr>
        <w:t>Metab</w:t>
      </w:r>
      <w:proofErr w:type="spellEnd"/>
      <w:r w:rsidRPr="008779C4">
        <w:rPr>
          <w:rFonts w:eastAsia="Times New Roman" w:cstheme="minorHAnsi"/>
          <w:b/>
          <w:bCs/>
          <w:sz w:val="22"/>
          <w:szCs w:val="22"/>
          <w:lang w:val="en-US" w:eastAsia="fr-FR"/>
        </w:rPr>
        <w:t>. 2021</w:t>
      </w:r>
      <w:r w:rsidRPr="008779C4">
        <w:rPr>
          <w:rFonts w:eastAsia="Times New Roman" w:cstheme="minorHAnsi"/>
          <w:sz w:val="22"/>
          <w:szCs w:val="22"/>
          <w:lang w:val="en-US" w:eastAsia="fr-FR"/>
        </w:rPr>
        <w:t xml:space="preserve"> Aug;3(8):1071-1090. </w:t>
      </w:r>
    </w:p>
    <w:p w14:paraId="070D11FA" w14:textId="3305BD80" w:rsidR="008779C4" w:rsidRPr="007C389C" w:rsidRDefault="008779C4" w:rsidP="008779C4">
      <w:pPr>
        <w:jc w:val="both"/>
        <w:rPr>
          <w:rFonts w:cstheme="minorHAnsi"/>
          <w:sz w:val="22"/>
          <w:szCs w:val="22"/>
          <w:lang w:val="en-US"/>
        </w:rPr>
      </w:pPr>
    </w:p>
    <w:p w14:paraId="066C26EF" w14:textId="77777777" w:rsidR="007C389C" w:rsidRPr="007C389C" w:rsidRDefault="00DA5160" w:rsidP="007C389C">
      <w:pPr>
        <w:jc w:val="both"/>
        <w:rPr>
          <w:sz w:val="22"/>
          <w:szCs w:val="22"/>
          <w:lang w:val="en-US"/>
        </w:rPr>
      </w:pPr>
      <w:hyperlink r:id="rId6" w:history="1">
        <w:r w:rsidR="007C389C" w:rsidRPr="007C389C">
          <w:rPr>
            <w:rStyle w:val="Lienhypertexte"/>
            <w:sz w:val="22"/>
            <w:szCs w:val="22"/>
            <w:lang w:val="en-US"/>
          </w:rPr>
          <w:t xml:space="preserve">SARS-COV-2 spike binding to ACE2 in living cells monitored by TR-FRET. </w:t>
        </w:r>
      </w:hyperlink>
    </w:p>
    <w:p w14:paraId="7E1E52E5" w14:textId="190C539C" w:rsidR="007C389C" w:rsidRPr="007C389C" w:rsidRDefault="007C389C" w:rsidP="007C389C">
      <w:pPr>
        <w:jc w:val="both"/>
        <w:rPr>
          <w:sz w:val="22"/>
          <w:szCs w:val="22"/>
          <w:lang w:val="en-US"/>
        </w:rPr>
      </w:pPr>
      <w:proofErr w:type="spellStart"/>
      <w:r w:rsidRPr="007C389C">
        <w:rPr>
          <w:rStyle w:val="docsum-authors"/>
          <w:sz w:val="22"/>
          <w:szCs w:val="22"/>
          <w:lang w:val="en-US"/>
        </w:rPr>
        <w:t>Cecon</w:t>
      </w:r>
      <w:proofErr w:type="spellEnd"/>
      <w:r w:rsidRPr="007C389C">
        <w:rPr>
          <w:rStyle w:val="docsum-authors"/>
          <w:sz w:val="22"/>
          <w:szCs w:val="22"/>
          <w:lang w:val="en-US"/>
        </w:rPr>
        <w:t xml:space="preserve"> E, </w:t>
      </w:r>
      <w:proofErr w:type="spellStart"/>
      <w:r w:rsidRPr="007C389C">
        <w:rPr>
          <w:rStyle w:val="docsum-authors"/>
          <w:sz w:val="22"/>
          <w:szCs w:val="22"/>
          <w:lang w:val="en-US"/>
        </w:rPr>
        <w:t>Burridge</w:t>
      </w:r>
      <w:proofErr w:type="spellEnd"/>
      <w:r w:rsidRPr="007C389C">
        <w:rPr>
          <w:rStyle w:val="docsum-authors"/>
          <w:sz w:val="22"/>
          <w:szCs w:val="22"/>
          <w:lang w:val="en-US"/>
        </w:rPr>
        <w:t xml:space="preserve"> M, Cao L, Carter L, Ravichandran R, Dam J</w:t>
      </w:r>
      <w:r>
        <w:rPr>
          <w:rStyle w:val="docsum-authors"/>
          <w:sz w:val="22"/>
          <w:szCs w:val="22"/>
          <w:lang w:val="en-US"/>
        </w:rPr>
        <w:t>*</w:t>
      </w:r>
      <w:r w:rsidRPr="007C389C">
        <w:rPr>
          <w:rStyle w:val="docsum-authors"/>
          <w:sz w:val="22"/>
          <w:szCs w:val="22"/>
          <w:lang w:val="en-US"/>
        </w:rPr>
        <w:t>, Jockers R</w:t>
      </w:r>
      <w:r>
        <w:rPr>
          <w:rStyle w:val="docsum-authors"/>
          <w:sz w:val="22"/>
          <w:szCs w:val="22"/>
          <w:lang w:val="en-US"/>
        </w:rPr>
        <w:t>*</w:t>
      </w:r>
      <w:r w:rsidRPr="007C389C">
        <w:rPr>
          <w:rStyle w:val="docsum-authors"/>
          <w:sz w:val="22"/>
          <w:szCs w:val="22"/>
          <w:lang w:val="en-US"/>
        </w:rPr>
        <w:t>.</w:t>
      </w:r>
      <w:r w:rsidRPr="007C389C">
        <w:rPr>
          <w:sz w:val="22"/>
          <w:szCs w:val="22"/>
          <w:lang w:val="en-US"/>
        </w:rPr>
        <w:t xml:space="preserve"> </w:t>
      </w:r>
      <w:r w:rsidRPr="007C389C">
        <w:rPr>
          <w:rStyle w:val="docsum-journal-citation"/>
          <w:b/>
          <w:bCs/>
          <w:sz w:val="22"/>
          <w:szCs w:val="22"/>
          <w:lang w:val="en-US"/>
        </w:rPr>
        <w:t xml:space="preserve">Cell Chem </w:t>
      </w:r>
      <w:r w:rsidRPr="007C389C">
        <w:rPr>
          <w:rStyle w:val="docsum-journal-citation"/>
          <w:sz w:val="22"/>
          <w:szCs w:val="22"/>
          <w:lang w:val="en-US"/>
        </w:rPr>
        <w:t>Biol. 2022 Jan 20</w:t>
      </w:r>
      <w:proofErr w:type="gramStart"/>
      <w:r w:rsidRPr="007C389C">
        <w:rPr>
          <w:rStyle w:val="docsum-journal-citation"/>
          <w:sz w:val="22"/>
          <w:szCs w:val="22"/>
          <w:lang w:val="en-US"/>
        </w:rPr>
        <w:t>;29</w:t>
      </w:r>
      <w:proofErr w:type="gramEnd"/>
      <w:r w:rsidRPr="007C389C">
        <w:rPr>
          <w:rStyle w:val="docsum-journal-citation"/>
          <w:sz w:val="22"/>
          <w:szCs w:val="22"/>
          <w:lang w:val="en-US"/>
        </w:rPr>
        <w:t>(1):74-83.e4.</w:t>
      </w:r>
    </w:p>
    <w:p w14:paraId="7E43A8DE" w14:textId="77777777" w:rsidR="007C389C" w:rsidRPr="007C389C" w:rsidRDefault="007C389C" w:rsidP="008779C4">
      <w:pPr>
        <w:jc w:val="both"/>
        <w:rPr>
          <w:rFonts w:cstheme="minorHAnsi"/>
          <w:sz w:val="22"/>
          <w:szCs w:val="22"/>
          <w:lang w:val="en-US"/>
        </w:rPr>
      </w:pPr>
    </w:p>
    <w:p w14:paraId="6B837F50" w14:textId="77777777" w:rsidR="008779C4" w:rsidRPr="008779C4" w:rsidRDefault="00DA5160" w:rsidP="008779C4">
      <w:pPr>
        <w:jc w:val="both"/>
        <w:rPr>
          <w:rFonts w:cstheme="minorHAnsi"/>
          <w:sz w:val="22"/>
          <w:szCs w:val="22"/>
          <w:lang w:val="en-US"/>
        </w:rPr>
      </w:pPr>
      <w:hyperlink r:id="rId7" w:history="1">
        <w:r w:rsidR="008779C4" w:rsidRPr="008779C4">
          <w:rPr>
            <w:rStyle w:val="Lienhypertexte"/>
            <w:rFonts w:cstheme="minorHAnsi"/>
            <w:sz w:val="22"/>
            <w:szCs w:val="22"/>
            <w:lang w:val="en-US"/>
          </w:rPr>
          <w:t xml:space="preserve">Human GLP1R variants affecting GLP1R cell surface expression are associated with impaired glucose control and increased adiposity. </w:t>
        </w:r>
      </w:hyperlink>
      <w:bookmarkEnd w:id="0"/>
    </w:p>
    <w:p w14:paraId="2EB810D5" w14:textId="77777777" w:rsidR="008779C4" w:rsidRPr="007C389C" w:rsidRDefault="008779C4" w:rsidP="008779C4">
      <w:pPr>
        <w:jc w:val="both"/>
        <w:rPr>
          <w:rFonts w:cstheme="minorHAnsi"/>
          <w:sz w:val="22"/>
          <w:szCs w:val="22"/>
          <w:lang w:val="en-US"/>
        </w:rPr>
      </w:pPr>
      <w:r w:rsidRPr="008779C4">
        <w:rPr>
          <w:rStyle w:val="docsum-authors"/>
          <w:rFonts w:cstheme="minorHAnsi"/>
          <w:sz w:val="22"/>
          <w:szCs w:val="22"/>
          <w:lang w:val="en-US"/>
        </w:rPr>
        <w:lastRenderedPageBreak/>
        <w:t xml:space="preserve">Gao W, Liu L, Huh E,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Gbahou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F,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Cecon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E,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Oshima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M,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Houzé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L,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Katsonis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P,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Hegron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A, Fan Z,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Hou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G,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Charpentier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G,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Boissel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M,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Derhourhi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M,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Marre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M,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Balkau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B,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Froguel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P,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Scharfmann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R,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Lichtarge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O, Dam J,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Bonnefond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A, Liu J, Jockers R.</w:t>
      </w:r>
      <w:r w:rsidRPr="008779C4">
        <w:rPr>
          <w:rFonts w:cstheme="minorHAnsi"/>
          <w:sz w:val="22"/>
          <w:szCs w:val="22"/>
          <w:lang w:val="en-US"/>
        </w:rPr>
        <w:t xml:space="preserve"> </w:t>
      </w:r>
      <w:r w:rsidRPr="008779C4">
        <w:rPr>
          <w:rStyle w:val="docsum-journal-citation"/>
          <w:rFonts w:cstheme="minorHAnsi"/>
          <w:b/>
          <w:bCs/>
          <w:sz w:val="22"/>
          <w:szCs w:val="22"/>
          <w:lang w:val="en-US"/>
        </w:rPr>
        <w:t xml:space="preserve">Nat </w:t>
      </w:r>
      <w:proofErr w:type="spellStart"/>
      <w:r w:rsidRPr="008779C4">
        <w:rPr>
          <w:rStyle w:val="docsum-journal-citation"/>
          <w:rFonts w:cstheme="minorHAnsi"/>
          <w:b/>
          <w:bCs/>
          <w:sz w:val="22"/>
          <w:szCs w:val="22"/>
          <w:lang w:val="en-US"/>
        </w:rPr>
        <w:t>Metab</w:t>
      </w:r>
      <w:proofErr w:type="spellEnd"/>
      <w:r w:rsidRPr="008779C4">
        <w:rPr>
          <w:rStyle w:val="docsum-journal-citation"/>
          <w:rFonts w:cstheme="minorHAnsi"/>
          <w:b/>
          <w:bCs/>
          <w:sz w:val="22"/>
          <w:szCs w:val="22"/>
          <w:lang w:val="en-US"/>
        </w:rPr>
        <w:t xml:space="preserve">. </w:t>
      </w:r>
      <w:r w:rsidRPr="007C389C">
        <w:rPr>
          <w:rStyle w:val="docsum-journal-citation"/>
          <w:rFonts w:cstheme="minorHAnsi"/>
          <w:b/>
          <w:bCs/>
          <w:sz w:val="22"/>
          <w:szCs w:val="22"/>
          <w:lang w:val="en-US"/>
        </w:rPr>
        <w:t>2023</w:t>
      </w:r>
      <w:r w:rsidRPr="007C389C">
        <w:rPr>
          <w:rStyle w:val="docsum-journal-citation"/>
          <w:rFonts w:cstheme="minorHAnsi"/>
          <w:sz w:val="22"/>
          <w:szCs w:val="22"/>
          <w:lang w:val="en-US"/>
        </w:rPr>
        <w:t xml:space="preserve"> Oct;5(10):1673-1684. </w:t>
      </w:r>
    </w:p>
    <w:p w14:paraId="42452DF4" w14:textId="4EE14449" w:rsidR="008779C4" w:rsidRPr="008779C4" w:rsidRDefault="008779C4" w:rsidP="008779C4">
      <w:pPr>
        <w:jc w:val="both"/>
        <w:rPr>
          <w:rFonts w:cstheme="minorHAnsi"/>
          <w:sz w:val="22"/>
          <w:szCs w:val="22"/>
          <w:lang w:val="en-US"/>
        </w:rPr>
      </w:pPr>
    </w:p>
    <w:p w14:paraId="70B7F8C6" w14:textId="77777777" w:rsidR="008779C4" w:rsidRPr="008779C4" w:rsidRDefault="00DA5160" w:rsidP="008779C4">
      <w:pPr>
        <w:jc w:val="both"/>
        <w:rPr>
          <w:rFonts w:cstheme="minorHAnsi"/>
          <w:sz w:val="22"/>
          <w:szCs w:val="22"/>
          <w:lang w:val="en-US"/>
        </w:rPr>
      </w:pPr>
      <w:hyperlink r:id="rId8" w:history="1">
        <w:r w:rsidR="008779C4" w:rsidRPr="008779C4">
          <w:rPr>
            <w:rStyle w:val="Lienhypertexte"/>
            <w:rFonts w:cstheme="minorHAnsi"/>
            <w:sz w:val="22"/>
            <w:szCs w:val="22"/>
            <w:lang w:val="en-US"/>
          </w:rPr>
          <w:t xml:space="preserve">Whole-body deletion of </w:t>
        </w:r>
        <w:proofErr w:type="spellStart"/>
        <w:r w:rsidR="008779C4" w:rsidRPr="008779C4">
          <w:rPr>
            <w:rStyle w:val="Lienhypertexte"/>
            <w:rFonts w:cstheme="minorHAnsi"/>
            <w:sz w:val="22"/>
            <w:szCs w:val="22"/>
            <w:lang w:val="en-US"/>
          </w:rPr>
          <w:t>Endospanin</w:t>
        </w:r>
        <w:proofErr w:type="spellEnd"/>
        <w:r w:rsidR="008779C4" w:rsidRPr="008779C4">
          <w:rPr>
            <w:rStyle w:val="Lienhypertexte"/>
            <w:rFonts w:cstheme="minorHAnsi"/>
            <w:sz w:val="22"/>
            <w:szCs w:val="22"/>
            <w:lang w:val="en-US"/>
          </w:rPr>
          <w:t xml:space="preserve"> 1 protects from obesity-associated deleterious metabolic alterations. </w:t>
        </w:r>
      </w:hyperlink>
    </w:p>
    <w:p w14:paraId="5CCFAE37" w14:textId="7B3373CB" w:rsidR="008779C4" w:rsidRPr="008779C4" w:rsidRDefault="008779C4" w:rsidP="008779C4">
      <w:pPr>
        <w:jc w:val="both"/>
        <w:rPr>
          <w:rFonts w:cstheme="minorHAnsi"/>
          <w:sz w:val="22"/>
          <w:szCs w:val="22"/>
        </w:rPr>
      </w:pPr>
      <w:r w:rsidRPr="008779C4">
        <w:rPr>
          <w:rStyle w:val="docsum-authors"/>
          <w:rFonts w:cstheme="minorHAnsi"/>
          <w:sz w:val="22"/>
          <w:szCs w:val="22"/>
          <w:lang w:val="en-US"/>
        </w:rPr>
        <w:t>Roca-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Rivada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A, Do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Cruzeiro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M, Denis RG, Zhang Q, Rouault C,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Rouillé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Y,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Launay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JM,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Cruciani-Guglielmacci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C, </w:t>
      </w:r>
      <w:proofErr w:type="spellStart"/>
      <w:r w:rsidRPr="008779C4">
        <w:rPr>
          <w:rStyle w:val="docsum-authors"/>
          <w:rFonts w:cstheme="minorHAnsi"/>
          <w:sz w:val="22"/>
          <w:szCs w:val="22"/>
          <w:lang w:val="en-US"/>
        </w:rPr>
        <w:t>Mattot</w:t>
      </w:r>
      <w:proofErr w:type="spellEnd"/>
      <w:r w:rsidRPr="008779C4">
        <w:rPr>
          <w:rStyle w:val="docsum-authors"/>
          <w:rFonts w:cstheme="minorHAnsi"/>
          <w:sz w:val="22"/>
          <w:szCs w:val="22"/>
          <w:lang w:val="en-US"/>
        </w:rPr>
        <w:t xml:space="preserve"> V, Clément K, Jockers R, Dam J.</w:t>
      </w:r>
      <w:r w:rsidRPr="008779C4">
        <w:rPr>
          <w:rFonts w:cstheme="minorHAnsi"/>
          <w:sz w:val="22"/>
          <w:szCs w:val="22"/>
          <w:lang w:val="en-US"/>
        </w:rPr>
        <w:t xml:space="preserve"> </w:t>
      </w:r>
      <w:r w:rsidRPr="008779C4">
        <w:rPr>
          <w:rStyle w:val="docsum-journal-citation"/>
          <w:rFonts w:cstheme="minorHAnsi"/>
          <w:b/>
          <w:bCs/>
          <w:sz w:val="22"/>
          <w:szCs w:val="22"/>
          <w:lang w:val="en-US"/>
        </w:rPr>
        <w:t xml:space="preserve">JCI Insight. </w:t>
      </w:r>
      <w:r w:rsidRPr="008779C4">
        <w:rPr>
          <w:rStyle w:val="docsum-journal-citation"/>
          <w:rFonts w:cstheme="minorHAnsi"/>
          <w:b/>
          <w:bCs/>
          <w:sz w:val="22"/>
          <w:szCs w:val="22"/>
        </w:rPr>
        <w:t>2024</w:t>
      </w:r>
      <w:r w:rsidRPr="008779C4">
        <w:rPr>
          <w:rStyle w:val="docsum-journal-citation"/>
          <w:rFonts w:cstheme="minorHAnsi"/>
          <w:sz w:val="22"/>
          <w:szCs w:val="22"/>
        </w:rPr>
        <w:t xml:space="preserve"> Apr 2;9(9</w:t>
      </w:r>
      <w:proofErr w:type="gramStart"/>
      <w:r w:rsidRPr="008779C4">
        <w:rPr>
          <w:rStyle w:val="docsum-journal-citation"/>
          <w:rFonts w:cstheme="minorHAnsi"/>
          <w:sz w:val="22"/>
          <w:szCs w:val="22"/>
        </w:rPr>
        <w:t>):e</w:t>
      </w:r>
      <w:proofErr w:type="gramEnd"/>
      <w:r w:rsidRPr="008779C4">
        <w:rPr>
          <w:rStyle w:val="docsum-journal-citation"/>
          <w:rFonts w:cstheme="minorHAnsi"/>
          <w:sz w:val="22"/>
          <w:szCs w:val="22"/>
        </w:rPr>
        <w:t>168418.</w:t>
      </w:r>
    </w:p>
    <w:p w14:paraId="3305731F" w14:textId="77777777" w:rsidR="008779C4" w:rsidRPr="008D1B31" w:rsidRDefault="008779C4" w:rsidP="008D1B31">
      <w:pPr>
        <w:jc w:val="both"/>
        <w:rPr>
          <w:lang w:val="en-US"/>
        </w:rPr>
      </w:pPr>
    </w:p>
    <w:sectPr w:rsidR="008779C4" w:rsidRPr="008D1B31" w:rsidSect="00A830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31"/>
    <w:rsid w:val="00001CDF"/>
    <w:rsid w:val="00010EFD"/>
    <w:rsid w:val="00024D4A"/>
    <w:rsid w:val="00042279"/>
    <w:rsid w:val="000435B5"/>
    <w:rsid w:val="00052CD4"/>
    <w:rsid w:val="0005766E"/>
    <w:rsid w:val="000816B2"/>
    <w:rsid w:val="000869A6"/>
    <w:rsid w:val="000925E8"/>
    <w:rsid w:val="00095C07"/>
    <w:rsid w:val="000B7CAF"/>
    <w:rsid w:val="000D4034"/>
    <w:rsid w:val="000F62DB"/>
    <w:rsid w:val="00103126"/>
    <w:rsid w:val="001059E6"/>
    <w:rsid w:val="001177FA"/>
    <w:rsid w:val="00117BDA"/>
    <w:rsid w:val="00135265"/>
    <w:rsid w:val="001452A7"/>
    <w:rsid w:val="00153D07"/>
    <w:rsid w:val="00155C9B"/>
    <w:rsid w:val="00162EC8"/>
    <w:rsid w:val="001907EA"/>
    <w:rsid w:val="0019675C"/>
    <w:rsid w:val="001A6917"/>
    <w:rsid w:val="001C00F8"/>
    <w:rsid w:val="001D2E36"/>
    <w:rsid w:val="001D452E"/>
    <w:rsid w:val="001D5810"/>
    <w:rsid w:val="001D5D4F"/>
    <w:rsid w:val="001E1EDC"/>
    <w:rsid w:val="002017D4"/>
    <w:rsid w:val="002106E6"/>
    <w:rsid w:val="00232962"/>
    <w:rsid w:val="002343BF"/>
    <w:rsid w:val="00250B63"/>
    <w:rsid w:val="00254D27"/>
    <w:rsid w:val="00265CBE"/>
    <w:rsid w:val="0027745D"/>
    <w:rsid w:val="002A3CAF"/>
    <w:rsid w:val="002B72FA"/>
    <w:rsid w:val="002F1CE7"/>
    <w:rsid w:val="002F66CA"/>
    <w:rsid w:val="00302D6A"/>
    <w:rsid w:val="003035A0"/>
    <w:rsid w:val="0031050F"/>
    <w:rsid w:val="0031314D"/>
    <w:rsid w:val="003566C4"/>
    <w:rsid w:val="0036114E"/>
    <w:rsid w:val="00376AEE"/>
    <w:rsid w:val="003923D2"/>
    <w:rsid w:val="003F314F"/>
    <w:rsid w:val="00403371"/>
    <w:rsid w:val="0040476E"/>
    <w:rsid w:val="00426792"/>
    <w:rsid w:val="004304F6"/>
    <w:rsid w:val="0044007B"/>
    <w:rsid w:val="00451434"/>
    <w:rsid w:val="004526DC"/>
    <w:rsid w:val="0045442E"/>
    <w:rsid w:val="00462F50"/>
    <w:rsid w:val="004A77A3"/>
    <w:rsid w:val="004B163B"/>
    <w:rsid w:val="004D450D"/>
    <w:rsid w:val="004D6147"/>
    <w:rsid w:val="004E5FCB"/>
    <w:rsid w:val="004F76F4"/>
    <w:rsid w:val="005237C5"/>
    <w:rsid w:val="00532595"/>
    <w:rsid w:val="00534139"/>
    <w:rsid w:val="005606C4"/>
    <w:rsid w:val="00561824"/>
    <w:rsid w:val="00561F26"/>
    <w:rsid w:val="005711B2"/>
    <w:rsid w:val="005762AF"/>
    <w:rsid w:val="00597845"/>
    <w:rsid w:val="005A1AEE"/>
    <w:rsid w:val="005B4B48"/>
    <w:rsid w:val="005B68DB"/>
    <w:rsid w:val="005B6CA7"/>
    <w:rsid w:val="005D4CF0"/>
    <w:rsid w:val="005D68CE"/>
    <w:rsid w:val="005E48A8"/>
    <w:rsid w:val="0060135A"/>
    <w:rsid w:val="00605296"/>
    <w:rsid w:val="0061116B"/>
    <w:rsid w:val="006231F1"/>
    <w:rsid w:val="006478E6"/>
    <w:rsid w:val="00650B9D"/>
    <w:rsid w:val="006540E3"/>
    <w:rsid w:val="00677117"/>
    <w:rsid w:val="00680730"/>
    <w:rsid w:val="00686E46"/>
    <w:rsid w:val="0069409A"/>
    <w:rsid w:val="006F6664"/>
    <w:rsid w:val="0070339A"/>
    <w:rsid w:val="00716F91"/>
    <w:rsid w:val="00721F5C"/>
    <w:rsid w:val="00727398"/>
    <w:rsid w:val="0073476C"/>
    <w:rsid w:val="0074009E"/>
    <w:rsid w:val="007454AD"/>
    <w:rsid w:val="00746384"/>
    <w:rsid w:val="0075635A"/>
    <w:rsid w:val="00771127"/>
    <w:rsid w:val="00795C73"/>
    <w:rsid w:val="007B0471"/>
    <w:rsid w:val="007B1FF1"/>
    <w:rsid w:val="007B2850"/>
    <w:rsid w:val="007B38E3"/>
    <w:rsid w:val="007C389C"/>
    <w:rsid w:val="007D499F"/>
    <w:rsid w:val="007E731A"/>
    <w:rsid w:val="00804B26"/>
    <w:rsid w:val="00854A36"/>
    <w:rsid w:val="008779C4"/>
    <w:rsid w:val="00887DF3"/>
    <w:rsid w:val="00893B0E"/>
    <w:rsid w:val="008A0015"/>
    <w:rsid w:val="008A65C4"/>
    <w:rsid w:val="008A69F6"/>
    <w:rsid w:val="008A6CC6"/>
    <w:rsid w:val="008B0EB4"/>
    <w:rsid w:val="008B7DDD"/>
    <w:rsid w:val="008C0DC8"/>
    <w:rsid w:val="008C6D30"/>
    <w:rsid w:val="008D1B31"/>
    <w:rsid w:val="008D4E71"/>
    <w:rsid w:val="008F03FD"/>
    <w:rsid w:val="00906314"/>
    <w:rsid w:val="00947B32"/>
    <w:rsid w:val="00955EA6"/>
    <w:rsid w:val="009766CC"/>
    <w:rsid w:val="009E7655"/>
    <w:rsid w:val="009F7CFF"/>
    <w:rsid w:val="00A51442"/>
    <w:rsid w:val="00A66408"/>
    <w:rsid w:val="00A830D0"/>
    <w:rsid w:val="00A83D88"/>
    <w:rsid w:val="00A85AC7"/>
    <w:rsid w:val="00A86F1A"/>
    <w:rsid w:val="00AB5383"/>
    <w:rsid w:val="00AC5A86"/>
    <w:rsid w:val="00B05A41"/>
    <w:rsid w:val="00B13803"/>
    <w:rsid w:val="00B35456"/>
    <w:rsid w:val="00B50B51"/>
    <w:rsid w:val="00B63F35"/>
    <w:rsid w:val="00B80C29"/>
    <w:rsid w:val="00B86103"/>
    <w:rsid w:val="00B93BF1"/>
    <w:rsid w:val="00B9673F"/>
    <w:rsid w:val="00BB1E57"/>
    <w:rsid w:val="00BB7D18"/>
    <w:rsid w:val="00BC4846"/>
    <w:rsid w:val="00C11715"/>
    <w:rsid w:val="00C20289"/>
    <w:rsid w:val="00C24D3C"/>
    <w:rsid w:val="00C311A6"/>
    <w:rsid w:val="00C55049"/>
    <w:rsid w:val="00C776BF"/>
    <w:rsid w:val="00CA3352"/>
    <w:rsid w:val="00CB1BD5"/>
    <w:rsid w:val="00CE3A2B"/>
    <w:rsid w:val="00CE70C5"/>
    <w:rsid w:val="00D01A17"/>
    <w:rsid w:val="00D05836"/>
    <w:rsid w:val="00D13B89"/>
    <w:rsid w:val="00D15680"/>
    <w:rsid w:val="00D312C9"/>
    <w:rsid w:val="00D33E2D"/>
    <w:rsid w:val="00D35378"/>
    <w:rsid w:val="00D400BF"/>
    <w:rsid w:val="00D452D3"/>
    <w:rsid w:val="00D46905"/>
    <w:rsid w:val="00D60382"/>
    <w:rsid w:val="00D8658B"/>
    <w:rsid w:val="00DA101D"/>
    <w:rsid w:val="00DA3FD8"/>
    <w:rsid w:val="00DA5160"/>
    <w:rsid w:val="00DA662F"/>
    <w:rsid w:val="00DC33F4"/>
    <w:rsid w:val="00DC4E26"/>
    <w:rsid w:val="00DE6BAB"/>
    <w:rsid w:val="00E1041E"/>
    <w:rsid w:val="00E14540"/>
    <w:rsid w:val="00E15FFC"/>
    <w:rsid w:val="00E17147"/>
    <w:rsid w:val="00E2069E"/>
    <w:rsid w:val="00E356B9"/>
    <w:rsid w:val="00E40892"/>
    <w:rsid w:val="00E471D8"/>
    <w:rsid w:val="00E55159"/>
    <w:rsid w:val="00E57D49"/>
    <w:rsid w:val="00E605E6"/>
    <w:rsid w:val="00E6236A"/>
    <w:rsid w:val="00E70D11"/>
    <w:rsid w:val="00E82A83"/>
    <w:rsid w:val="00E83BF0"/>
    <w:rsid w:val="00E87948"/>
    <w:rsid w:val="00EB0EB6"/>
    <w:rsid w:val="00EB7484"/>
    <w:rsid w:val="00EC2C88"/>
    <w:rsid w:val="00ED5B4F"/>
    <w:rsid w:val="00EE0815"/>
    <w:rsid w:val="00EE67D6"/>
    <w:rsid w:val="00F0722C"/>
    <w:rsid w:val="00F21176"/>
    <w:rsid w:val="00F36380"/>
    <w:rsid w:val="00F46DF7"/>
    <w:rsid w:val="00F71B79"/>
    <w:rsid w:val="00F95292"/>
    <w:rsid w:val="00FA1CD8"/>
    <w:rsid w:val="00FC29D5"/>
    <w:rsid w:val="00FD49EC"/>
    <w:rsid w:val="00FE3133"/>
    <w:rsid w:val="00FE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1B93"/>
  <w15:chartTrackingRefBased/>
  <w15:docId w15:val="{87BE4506-5307-B346-BD49-7DD2442E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05836"/>
    <w:rPr>
      <w:color w:val="0000FF"/>
      <w:u w:val="single"/>
    </w:rPr>
  </w:style>
  <w:style w:type="character" w:customStyle="1" w:styleId="docsum-authors">
    <w:name w:val="docsum-authors"/>
    <w:basedOn w:val="Policepardfaut"/>
    <w:rsid w:val="00D05836"/>
  </w:style>
  <w:style w:type="character" w:customStyle="1" w:styleId="docsum-journal-citation">
    <w:name w:val="docsum-journal-citation"/>
    <w:basedOn w:val="Policepardfaut"/>
    <w:rsid w:val="00D05836"/>
  </w:style>
  <w:style w:type="paragraph" w:customStyle="1" w:styleId="zfr3q">
    <w:name w:val="zfr3q"/>
    <w:basedOn w:val="Normal"/>
    <w:rsid w:val="008779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c9dxtc">
    <w:name w:val="c9dxtc"/>
    <w:basedOn w:val="Policepardfaut"/>
    <w:rsid w:val="008779C4"/>
  </w:style>
  <w:style w:type="paragraph" w:styleId="NormalWeb">
    <w:name w:val="Normal (Web)"/>
    <w:basedOn w:val="Normal"/>
    <w:uiPriority w:val="99"/>
    <w:unhideWhenUsed/>
    <w:rsid w:val="00265C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6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871672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med.ncbi.nlm.nih.gov/3770996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34246414/" TargetMode="External"/><Relationship Id="rId5" Type="http://schemas.openxmlformats.org/officeDocument/2006/relationships/hyperlink" Target="https://pubmed.ncbi.nlm.nih.gov/34341568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Dam</dc:creator>
  <cp:keywords/>
  <dc:description/>
  <cp:lastModifiedBy>Clemence Faure</cp:lastModifiedBy>
  <cp:revision>2</cp:revision>
  <dcterms:created xsi:type="dcterms:W3CDTF">2025-04-02T15:43:00Z</dcterms:created>
  <dcterms:modified xsi:type="dcterms:W3CDTF">2025-04-02T15:43:00Z</dcterms:modified>
</cp:coreProperties>
</file>